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2E" w:rsidRDefault="0058602E" w:rsidP="0058602E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Name</w:t>
      </w: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Professor</w:t>
      </w: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Course</w:t>
      </w: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</w:t>
      </w:r>
    </w:p>
    <w:p w:rsidR="0058602E" w:rsidRDefault="0058602E" w:rsidP="0058602E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1E0F78" w:rsidRPr="00642974" w:rsidRDefault="001E0F78" w:rsidP="0058602E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Gender Intersectionality</w:t>
      </w:r>
    </w:p>
    <w:p w:rsidR="00EE0831" w:rsidRPr="00642974" w:rsidRDefault="00580FE5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6E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Introduction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Intersectionality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, t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interconnected idea of social orders like race, class, and sex, viewed as 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creating overlapping and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related frameworks of 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disadvantage or discrimination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; a hypothetical methodology dependent on such a reason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(Oxford Dictionary).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Intersectionality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structure for conceptualizing an individual,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group of people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social issue as influenced by various 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discriminations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detriments. It considers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people’s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covering personalities and encounters to comprehend the intricacy of biases they face. As such, diverse hypothesis affirms that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frequently distraught by various wellsprings of abuse: their race, class, sex personality, sexual direction, religion, and other character markers. </w:t>
      </w:r>
      <w:r w:rsidR="008603DE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Intersectionality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recognize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 that personality markers do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exist autonomously of one another, and that each advises the others, frequently making a perplexing intermingling of abuse. </w:t>
      </w:r>
    </w:p>
    <w:p w:rsidR="00EE0831" w:rsidRPr="00642974" w:rsidRDefault="006A7D2F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Media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ntersectionality: Women in Film as “Reproductive Tools”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 is a major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part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people’s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 daily existences. It impacts both how we see ourselves and the world somewhat. There are a wide range of sorts of me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dia, for instance: television,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radio,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news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papers,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movies, advertisements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are put in arbitrary spots and the web. In these various types of media, there are pictures of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men and 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which are addressed contrastingly and with various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characteristics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Ottosson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Cheng, 2012). 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Studies on sexual orientation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role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media show that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underrepresented in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movies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, and that they are addressed in an unexpected manner in comparison to men. For example, men will in general be depicted as hav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ing higher and longer enduring employment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status dependent on their prosperity, while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lower and more limited profession status dependent on their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youths or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looks (Carter and Steiner 2004). </w:t>
      </w:r>
    </w:p>
    <w:p w:rsidR="00015989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 her paper, Kim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Akass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how, even toward the start of the 21st century,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connected to science and multiplication, which is all around exemplified in the three HBO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series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Sex and the City, The Sopranos (1999)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Game of Thrones (2011)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last has been condemned for its portrayal of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basically utilized for their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reproductive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despite the fact that they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manage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acquire power. However, the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fantasy world and medieval background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t portrays can clarif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y these prime examples. That is no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the situation for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Sopranos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whose setting is contemporary and in which mothering is a reason for oppression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discrimination against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live in a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patriarchal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culture where they are u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sed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commodities and reproductive partners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Paradoxically,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Sex and the City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motherhood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 the eyes of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not a lot has changed since it was first broadcasted: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when they have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children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, actually need to confront work environment segregation and</w:t>
      </w:r>
      <w:r w:rsidR="001E0F78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 strain to remain at home (</w:t>
      </w:r>
      <w:proofErr w:type="spellStart"/>
      <w:r w:rsidR="001E0F78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Akass</w:t>
      </w:r>
      <w:proofErr w:type="spellEnd"/>
      <w:r w:rsidR="001E0F78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McCabe, </w:t>
      </w:r>
      <w:r w:rsidR="001E0F78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2004)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Surprisingly, it appears to be that the portrayal of womanhood has gone from a high point with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Sex and the City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 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low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Hence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until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015989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addressed equally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decently, womanhood won't ever get away from the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patriarchal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organization of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motherhood</w:t>
      </w:r>
      <w:r w:rsidR="001E0F78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E0831" w:rsidRPr="00126E36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6E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Why </w:t>
      </w:r>
      <w:r w:rsidRPr="00126E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intersectional lens</w:t>
      </w:r>
      <w:r w:rsidRPr="00126E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E0831" w:rsidRPr="00642974" w:rsidRDefault="008603DE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Intersectionality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viewed as urgent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consideration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social equity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work. Activists and local area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are calling for and partaking in more powerful discussions about the distinctions in experience among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various covering personalities. Without an interconnected focal point, occasions and developments that mean to address bad form towards one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wind up propagating frameworks of disparities towards different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Intersectionality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completely illuminates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's work, by empowering nuanced discussions around imbalance in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It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enlightens us to disparities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among 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of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color</w:t>
      </w:r>
      <w:proofErr w:type="spellEnd"/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gives pathways to our childhood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leaders on identity, and is critical to advocacy work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E0831" w:rsidRPr="00126E36" w:rsidRDefault="006A7D2F" w:rsidP="0058602E">
      <w:pPr>
        <w:spacing w:after="0" w:line="48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6E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Way</w:t>
      </w:r>
      <w:r w:rsidR="00EE0831" w:rsidRPr="00126E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Forward </w:t>
      </w:r>
    </w:p>
    <w:p w:rsidR="00EE0831" w:rsidRPr="00642974" w:rsidRDefault="008603DE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Recognize differences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Oftentimes, it is simpler to accept and to disclose to others that "all 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feel" a specific way or that "LGBTQ+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accept" some normal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understanding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however this doesn't reflect reality. We should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recognize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all interesting encounters of personality, and especially ones that include numerous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overlapping 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persecutions, are legitimate. 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Try not to avoid </w:t>
      </w:r>
      <w:r w:rsidR="008603DE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recognizing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 the world contrastingly dependent on their </w:t>
      </w:r>
      <w:r w:rsidR="008603DE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overlapping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personality markers. Due to the manner in which we have been associated to keep taking care of frameworks of abuse, we regularly feel it is inconsiderate to officially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recognize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others' distinction. We see this in how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awkward naming someone else's apparent race or requesting somebody's </w:t>
      </w:r>
      <w:r w:rsidR="008603DE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favoured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pronouns. Notwithstanding, we should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recognize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ways of life as an approach to venture past our </w:t>
      </w:r>
      <w:r w:rsidR="008603DE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assumption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our experience is normal. One method of doing so is the </w:t>
      </w:r>
      <w:r w:rsidR="008603DE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point at which one goes to rallies;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investigate the signs that others hold (YB, 2017). 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Stay away from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oversimplified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language: Once we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recognize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distinction, we can move away from language that looks to characterize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 particular personality. By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avoiding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language that accepts our own encounters are standard, we can free ourselves up to tuning in to others' perspectives. 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Look for different perspectives: Explore the accounts of those with unexpected interlocking personalities in comparison to you. This incorporates encircle yourself with ot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hers with contrasting entwined identities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, however remember that peri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odically, in any event, when one has a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assorted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group of people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lobbyist space, it falls on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instruct others about the mistreatments they face. At the point when these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share their encounters, a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ccept the open door to tune in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(YB, 2017). </w:t>
      </w:r>
    </w:p>
    <w:p w:rsidR="00EE0831" w:rsidRPr="00642974" w:rsidRDefault="006A7D2F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Show up: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not expect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face various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systems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abuse to revitalize for causes you care about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 the event that one does not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mobilize for theirs. As you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hear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issues others face, find out about the work that is as of now being done around these subjects. Tune in and concede to the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live with these interconnected characters every day. </w:t>
      </w:r>
    </w:p>
    <w:p w:rsidR="006A7D2F" w:rsidRPr="00642974" w:rsidRDefault="006A7D2F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0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</w:t>
      </w:r>
    </w:p>
    <w:p w:rsidR="00EE0831" w:rsidRPr="00642974" w:rsidRDefault="00EE083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media too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has a role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supporting predominant standards through its advancement and dissemination of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opinion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people in general. In the course of recent years, famous TV programs portraying varieties of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' maternal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roles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changed to suit prevailing talks about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motherhood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Early depictions of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pre-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feminist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 were found in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television shows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Love Lucy (1951–1957)</w:t>
      </w:r>
      <w:proofErr w:type="gramStart"/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proofErr w:type="gramEnd"/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Leave it to Beaver (1957–1963)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Father Knows Best (1954–1960),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generally portrayed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happy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housewives. These depictions were displaced by programs like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Roseanne (1988–1997),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showed a maternal character -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pushed the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intersection between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 and the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role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mother in a </w:t>
      </w:r>
      <w:r w:rsidR="003F7F0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working class family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A7D2F" w:rsidRPr="00642974" w:rsidRDefault="006A7D2F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“I’m such </w:t>
      </w:r>
      <w:proofErr w:type="gramStart"/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a</w:t>
      </w:r>
      <w:proofErr w:type="gramEnd"/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f--kin’ woman” -- Rihanna, “Wait Your Turn” (2009):</w:t>
      </w:r>
      <w:r w:rsidRPr="0064297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 the beginning of her profession, Rihanna has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favored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audience members with hymns that underwrite females driven by their characteristic edge. This strong revelation from her fourth studio collection, Rated R, gave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of people the primary genuine impression of her express, terrible woman persona - something that the vocalist has satisfied in the entirety of her undertakings since. </w:t>
      </w:r>
    </w:p>
    <w:p w:rsidR="006A7D2F" w:rsidRPr="00642974" w:rsidRDefault="006A7D2F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“Everything I do, I do it with a passion/ If I </w:t>
      </w:r>
      <w:proofErr w:type="spellStart"/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gotta</w:t>
      </w:r>
      <w:proofErr w:type="spellEnd"/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be a b---h, </w:t>
      </w:r>
      <w:proofErr w:type="spellStart"/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I'ma</w:t>
      </w:r>
      <w:proofErr w:type="spellEnd"/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be a bad one” -- </w:t>
      </w:r>
      <w:proofErr w:type="spellStart"/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Kehlani</w:t>
      </w:r>
      <w:proofErr w:type="spellEnd"/>
      <w:r w:rsidRPr="00642974">
        <w:rPr>
          <w:rStyle w:val="Strong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, “CRZY” (2017):</w:t>
      </w:r>
      <w:r w:rsidRPr="0064297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Mirroring a mentality like Rihanna's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Kehlani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thinks outside the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box of societal desires on this single from her debut LP,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Sweet</w:t>
      </w:r>
      <w:r w:rsidR="001E0F78"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Sexy</w:t>
      </w:r>
      <w:r w:rsidR="001E0F78"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Savage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. Rihanna portrays the best of women abilities paying little heed to the haters.</w:t>
      </w:r>
    </w:p>
    <w:p w:rsidR="0037709C" w:rsidRPr="00642974" w:rsidRDefault="003F7F01" w:rsidP="0058602E">
      <w:pPr>
        <w:spacing w:after="0" w:line="48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We all look for change in our communities, regardless of how we get involved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 spite of our common vision,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social equity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 can frequently feel exclusionary to the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are inexperienced with the language. 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Intersectionality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specifically, is a term that numerous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8603DE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 state as important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yet 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others 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unclear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. Understanding the wording u</w:t>
      </w:r>
      <w:r w:rsidR="00580FE5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sed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equity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 is a helpful instrument for </w:t>
      </w:r>
      <w:r w:rsidR="006A7D2F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people</w:t>
      </w:r>
      <w:r w:rsidR="00EE0831"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growing their insight on the issues they care about.</w:t>
      </w: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602E" w:rsidRDefault="0058602E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E0F78" w:rsidRPr="00642974" w:rsidRDefault="001E0F78" w:rsidP="0058602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</w:t>
      </w:r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Akass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 (2017). </w:t>
      </w:r>
      <w:proofErr w:type="gramStart"/>
      <w:r w:rsidRPr="0064297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Motherhood, Maternal Representation and Popular Culture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Paper presented at Women and Popular Culture(s) in The Anglophone Worlds: 1945-2015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Rochelle, France.</w:t>
      </w:r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Akass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, K &amp; McCabe, J.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(2004).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Reading Sex and the City.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London: I. B.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Tauris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Company.</w:t>
      </w:r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Benioff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, D and Weiss, D. (2011).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 of Thrones.</w:t>
      </w:r>
      <w:proofErr w:type="gramEnd"/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HBO.</w:t>
      </w:r>
      <w:proofErr w:type="gramEnd"/>
    </w:p>
    <w:p w:rsidR="001E0F78" w:rsidRPr="00642974" w:rsidRDefault="001E0F78" w:rsidP="0058602E">
      <w:pPr>
        <w:spacing w:after="0" w:line="480" w:lineRule="auto"/>
        <w:ind w:left="567" w:hanging="567"/>
        <w:rPr>
          <w:rStyle w:val="gywzne"/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Style w:val="gywzne"/>
          <w:rFonts w:ascii="Times New Roman" w:hAnsi="Times New Roman" w:cs="Times New Roman"/>
          <w:color w:val="000000" w:themeColor="text1"/>
          <w:sz w:val="24"/>
          <w:szCs w:val="24"/>
        </w:rPr>
        <w:t xml:space="preserve">Burton, K &amp; Bolen, M. </w:t>
      </w:r>
      <w:r w:rsidRPr="00642974">
        <w:rPr>
          <w:rStyle w:val="gywzne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Father Knows Best (1954 – 1960). </w:t>
      </w:r>
      <w:proofErr w:type="gramStart"/>
      <w:r w:rsidRPr="00642974">
        <w:rPr>
          <w:rStyle w:val="gywzne"/>
          <w:rFonts w:ascii="Times New Roman" w:hAnsi="Times New Roman" w:cs="Times New Roman"/>
          <w:color w:val="000000" w:themeColor="text1"/>
          <w:sz w:val="24"/>
          <w:szCs w:val="24"/>
        </w:rPr>
        <w:t>Rodney-Young Production.</w:t>
      </w:r>
      <w:proofErr w:type="gramEnd"/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Carter, C &amp; Steiner, L. (2004).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Critical readings: Media and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gender.Maidenhead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: Open University Press.</w:t>
      </w:r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Chase, D. (1999). </w:t>
      </w:r>
      <w:proofErr w:type="gramStart"/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Sopranos.</w:t>
      </w:r>
      <w:proofErr w:type="gramEnd"/>
      <w:r w:rsidRPr="006429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Silvercup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Studios.</w:t>
      </w:r>
      <w:proofErr w:type="gramEnd"/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Connelly, J. and Mosher, B. </w:t>
      </w:r>
      <w:r w:rsidRPr="0064297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Leave it to Beaver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(1957–1963).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CBS.</w:t>
      </w:r>
      <w:proofErr w:type="gramEnd"/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4297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Desi</w:t>
      </w:r>
      <w:proofErr w:type="spellEnd"/>
      <w:r w:rsidRPr="0064297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297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Arnaz</w:t>
      </w:r>
      <w:proofErr w:type="spellEnd"/>
      <w:r w:rsidRPr="0064297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 I Love Lucy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(1951–1957). </w:t>
      </w:r>
      <w:proofErr w:type="spellStart"/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Desilu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Ottosson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, T and Cheng, X. (2012).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The representation of gender roles in the media-An analysis of gender discourse in Sex and the City movies.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West Indies.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from: https://www.diva-portal.org/smash/get/diva2:533504/fulltext02.%20Diakses%2010%20Februari%202018 </w:t>
      </w:r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Sex and the city: the movie (2008). Director: Michael Patrick King.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Line.Sex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city 2 (2010).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Director: Michael Patrick King.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New Line Cinema and Home Box Office (HBO).</w:t>
      </w:r>
      <w:proofErr w:type="gramEnd"/>
    </w:p>
    <w:p w:rsidR="001E0F78" w:rsidRPr="00642974" w:rsidRDefault="001E0F78" w:rsidP="0058602E">
      <w:pPr>
        <w:pStyle w:val="FootnoteText"/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Smith, D. (2017).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Aretha Franklin to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Beyonc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50 Lyrics Celebrating </w:t>
      </w:r>
      <w:proofErr w:type="spell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Femal</w:t>
      </w:r>
      <w:proofErr w:type="spell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Empowerment.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>Billboard.</w:t>
      </w:r>
      <w:proofErr w:type="gramEnd"/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from: https://www.billboard.com/articles/columns/hip-hop/7717173/50-songs-lyrics-celebrating-women</w:t>
      </w:r>
    </w:p>
    <w:p w:rsidR="001E0F78" w:rsidRPr="00642974" w:rsidRDefault="001E0F78" w:rsidP="0058602E">
      <w:pPr>
        <w:spacing w:after="0" w:line="48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297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>Williams, M &amp; Barr, R. (1988).</w:t>
      </w:r>
      <w:proofErr w:type="gramEnd"/>
      <w:r w:rsidRPr="0064297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64297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Roseanne</w:t>
      </w:r>
      <w:r w:rsidRPr="00642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(1988–1997). ABC</w:t>
      </w:r>
    </w:p>
    <w:p w:rsidR="001E0F78" w:rsidRPr="0089614E" w:rsidRDefault="001E0F78" w:rsidP="0089614E">
      <w:pPr>
        <w:pStyle w:val="Heading2"/>
        <w:spacing w:line="480" w:lineRule="auto"/>
        <w:ind w:left="567" w:hanging="56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4297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Y B. (2017). What is intersectionality, and what does it have to do with me? </w:t>
      </w:r>
      <w:proofErr w:type="gramStart"/>
      <w:r w:rsidRPr="0064297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YB Boston Blog.</w:t>
      </w:r>
      <w:proofErr w:type="gramEnd"/>
      <w:r w:rsidRPr="0064297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Retrieved from: https://www.ywboston.org/2017/03/what-is-intersectionality-and-what-does-it-have-to-do-with-me/</w:t>
      </w:r>
      <w:r w:rsidRPr="001E0F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1E0F78" w:rsidRPr="001E0F78" w:rsidRDefault="001E0F78" w:rsidP="0058602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0F78" w:rsidRPr="001E0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31"/>
    <w:rsid w:val="00015989"/>
    <w:rsid w:val="00126E36"/>
    <w:rsid w:val="001E0F78"/>
    <w:rsid w:val="002F69A9"/>
    <w:rsid w:val="0037709C"/>
    <w:rsid w:val="003F7F01"/>
    <w:rsid w:val="00580FE5"/>
    <w:rsid w:val="0058602E"/>
    <w:rsid w:val="00642974"/>
    <w:rsid w:val="006A7D2F"/>
    <w:rsid w:val="008603DE"/>
    <w:rsid w:val="0089614E"/>
    <w:rsid w:val="0089621F"/>
    <w:rsid w:val="00C2001D"/>
    <w:rsid w:val="00C24E92"/>
    <w:rsid w:val="00E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7D2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0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E0F78"/>
    <w:rPr>
      <w:i/>
      <w:iCs/>
    </w:rPr>
  </w:style>
  <w:style w:type="character" w:customStyle="1" w:styleId="gywzne">
    <w:name w:val="gywzne"/>
    <w:basedOn w:val="DefaultParagraphFont"/>
    <w:rsid w:val="001E0F78"/>
  </w:style>
  <w:style w:type="paragraph" w:styleId="FootnoteText">
    <w:name w:val="footnote text"/>
    <w:basedOn w:val="Normal"/>
    <w:link w:val="FootnoteTextChar"/>
    <w:uiPriority w:val="99"/>
    <w:semiHidden/>
    <w:unhideWhenUsed/>
    <w:rsid w:val="001E0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F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7D2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0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E0F78"/>
    <w:rPr>
      <w:i/>
      <w:iCs/>
    </w:rPr>
  </w:style>
  <w:style w:type="character" w:customStyle="1" w:styleId="gywzne">
    <w:name w:val="gywzne"/>
    <w:basedOn w:val="DefaultParagraphFont"/>
    <w:rsid w:val="001E0F78"/>
  </w:style>
  <w:style w:type="paragraph" w:styleId="FootnoteText">
    <w:name w:val="footnote text"/>
    <w:basedOn w:val="Normal"/>
    <w:link w:val="FootnoteTextChar"/>
    <w:uiPriority w:val="99"/>
    <w:semiHidden/>
    <w:unhideWhenUsed/>
    <w:rsid w:val="001E0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F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2021-04-23T17:00:00Z</dcterms:created>
  <dcterms:modified xsi:type="dcterms:W3CDTF">2021-04-23T18:16:00Z</dcterms:modified>
</cp:coreProperties>
</file>